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B55CEA" w14:textId="68C65B1A" w:rsidR="00804A9B" w:rsidRPr="00402CBE" w:rsidRDefault="009F3C12" w:rsidP="00804A9B">
      <w:pPr>
        <w:spacing w:after="120" w:line="276" w:lineRule="auto"/>
        <w:jc w:val="both"/>
        <w:rPr>
          <w:rFonts w:ascii="Arial" w:hAnsi="Arial" w:cs="Arial"/>
          <w:lang w:val="de-DE"/>
        </w:rPr>
      </w:pPr>
      <w:r w:rsidRPr="009F3C12">
        <w:rPr>
          <w:rFonts w:ascii="Arial" w:hAnsi="Arial" w:cs="Arial"/>
          <w:lang w:val="de-DE"/>
        </w:rPr>
        <w:t>Innovation:</w:t>
      </w:r>
      <w:r>
        <w:rPr>
          <w:rFonts w:ascii="Arial" w:eastAsia="MS Mincho" w:hAnsi="Arial" w:cs="Arial"/>
          <w:b/>
          <w:color w:val="000000" w:themeColor="text1"/>
          <w:sz w:val="16"/>
          <w:szCs w:val="18"/>
          <w:lang w:val="de-DE"/>
        </w:rPr>
        <w:t xml:space="preserve"> </w:t>
      </w:r>
      <w:r w:rsidR="00804A9B" w:rsidRPr="00402CBE">
        <w:rPr>
          <w:rFonts w:ascii="Arial" w:hAnsi="Arial" w:cs="Arial"/>
          <w:lang w:val="de-DE"/>
        </w:rPr>
        <w:t>Robo2Go 3. Generation</w:t>
      </w:r>
    </w:p>
    <w:p w14:paraId="5CBA337B" w14:textId="77777777" w:rsidR="00804A9B" w:rsidRPr="00402CBE" w:rsidRDefault="00804A9B" w:rsidP="00804A9B">
      <w:pPr>
        <w:pStyle w:val="02Aufzhlung"/>
        <w:numPr>
          <w:ilvl w:val="0"/>
          <w:numId w:val="0"/>
        </w:numPr>
        <w:tabs>
          <w:tab w:val="clear" w:pos="340"/>
          <w:tab w:val="left" w:pos="227"/>
        </w:tabs>
        <w:spacing w:line="360" w:lineRule="auto"/>
        <w:rPr>
          <w:rFonts w:ascii="Arial" w:hAnsi="Arial" w:cs="Arial"/>
          <w:b/>
          <w:color w:val="000000" w:themeColor="text1"/>
        </w:rPr>
      </w:pPr>
      <w:r w:rsidRPr="00402CBE">
        <w:rPr>
          <w:rFonts w:ascii="Arial" w:hAnsi="Arial" w:cs="Arial"/>
          <w:b/>
          <w:bCs/>
          <w:color w:val="000000" w:themeColor="text1"/>
          <w:spacing w:val="2"/>
          <w:sz w:val="35"/>
          <w:szCs w:val="35"/>
        </w:rPr>
        <w:t>Höhere Autonomie du</w:t>
      </w:r>
      <w:r>
        <w:rPr>
          <w:rFonts w:ascii="Arial" w:hAnsi="Arial" w:cs="Arial"/>
          <w:b/>
          <w:bCs/>
          <w:color w:val="000000" w:themeColor="text1"/>
          <w:spacing w:val="2"/>
          <w:sz w:val="35"/>
          <w:szCs w:val="35"/>
        </w:rPr>
        <w:t>rch mehr Kapazität</w:t>
      </w:r>
    </w:p>
    <w:p w14:paraId="6E55D18B" w14:textId="77777777" w:rsidR="00804A9B" w:rsidRPr="006C311E" w:rsidRDefault="00804A9B" w:rsidP="00804A9B">
      <w:pPr>
        <w:spacing w:before="240" w:after="120" w:line="276" w:lineRule="auto"/>
        <w:jc w:val="both"/>
        <w:rPr>
          <w:rFonts w:ascii="Arial" w:eastAsia="Calibri" w:hAnsi="Arial" w:cs="Arial"/>
          <w:color w:val="000000" w:themeColor="text1"/>
          <w:lang w:val="de-DE"/>
        </w:rPr>
      </w:pPr>
      <w:r w:rsidRPr="2C69B19B">
        <w:rPr>
          <w:rFonts w:ascii="Arial" w:eastAsia="Calibri" w:hAnsi="Arial" w:cs="Arial"/>
          <w:b/>
          <w:bCs/>
          <w:color w:val="000000" w:themeColor="text1"/>
          <w:lang w:val="de-DE"/>
        </w:rPr>
        <w:t>München.</w:t>
      </w:r>
      <w:r w:rsidRPr="2C69B19B">
        <w:rPr>
          <w:rFonts w:ascii="Arial" w:eastAsia="Calibri" w:hAnsi="Arial" w:cs="Arial"/>
          <w:color w:val="000000" w:themeColor="text1"/>
          <w:lang w:val="de-DE"/>
        </w:rPr>
        <w:t xml:space="preserve"> Die Automation von Bearbeitungszentren und Drehmaschinen ist ein schneller Weg, die Auslastung der Produktion zu optimieren – insbesondere mit Hilfe von Werkstückhandlings, die sich leicht installieren und intuitiv bedienen lassen. In dieser Kategorie beweisen sich der Robo2Go Milling und Robo2Go </w:t>
      </w:r>
      <w:proofErr w:type="spellStart"/>
      <w:r w:rsidRPr="2C69B19B">
        <w:rPr>
          <w:rFonts w:ascii="Arial" w:eastAsia="Calibri" w:hAnsi="Arial" w:cs="Arial"/>
          <w:color w:val="000000" w:themeColor="text1"/>
          <w:lang w:val="de-DE"/>
        </w:rPr>
        <w:t>Turning</w:t>
      </w:r>
      <w:proofErr w:type="spellEnd"/>
      <w:r w:rsidRPr="2C69B19B">
        <w:rPr>
          <w:rFonts w:ascii="Arial" w:eastAsia="Calibri" w:hAnsi="Arial" w:cs="Arial"/>
          <w:color w:val="000000" w:themeColor="text1"/>
          <w:lang w:val="de-DE"/>
        </w:rPr>
        <w:t xml:space="preserve"> von DMG MORI seit vielen Jahren. Zur Hausausstellung in Pfronten präsentiert der Werkzeugmaschinenhersteller die dritte Generation der flexiblen Roboterlösung für kleine bis mittlere Losgrößen. Die Vergrößerung des Werkstückspeichers um bis zu 50 Prozent, durchdachte Aufstelllayouts und eine einfache Handhabung machen die Innovation zu einem wertvollen Upgrade in jeder Produktion.</w:t>
      </w:r>
    </w:p>
    <w:p w14:paraId="6D54B5DB" w14:textId="77777777" w:rsidR="00804A9B" w:rsidRPr="00514A3C" w:rsidRDefault="00804A9B" w:rsidP="00804A9B">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Neugestaltete Speicherlösungen und optimale Zugänglichkeit</w:t>
      </w:r>
    </w:p>
    <w:p w14:paraId="65D19635" w14:textId="658FF609" w:rsidR="00804A9B" w:rsidRPr="00EB7F96" w:rsidRDefault="00804A9B" w:rsidP="00804A9B">
      <w:pPr>
        <w:spacing w:after="120" w:line="276" w:lineRule="auto"/>
        <w:jc w:val="both"/>
        <w:rPr>
          <w:lang w:val="de-DE"/>
        </w:rPr>
      </w:pPr>
      <w:r w:rsidRPr="6E887ED0">
        <w:rPr>
          <w:rFonts w:ascii="Arial" w:eastAsia="Calibri" w:hAnsi="Arial" w:cs="Arial"/>
          <w:color w:val="000000" w:themeColor="text1"/>
          <w:lang w:val="de-DE"/>
        </w:rPr>
        <w:t>Damit der Robo2Go 3. Generation noch autonomer arbeiten kann, hat DMG MORI vor allem seine Speicherlösungen neugestaltet. Eine Europalette im Standard erhöht die Kapazität um zwölf Prozent, der Schubladenspeicher wurde um 32 Prozent vergrößert. Darüber hinaus ist ein Palettenbahnhof mit drei Europaletten erhältlich, die den Speicher um 50 Prozent erweiter</w:t>
      </w:r>
      <w:r w:rsidR="00F97F3B" w:rsidRPr="6E887ED0">
        <w:rPr>
          <w:rFonts w:ascii="Arial" w:eastAsia="Calibri" w:hAnsi="Arial" w:cs="Arial"/>
          <w:color w:val="000000" w:themeColor="text1"/>
          <w:lang w:val="de-DE"/>
        </w:rPr>
        <w:t>n</w:t>
      </w:r>
      <w:r w:rsidRPr="6E887ED0">
        <w:rPr>
          <w:rFonts w:ascii="Arial" w:eastAsia="Calibri" w:hAnsi="Arial" w:cs="Arial"/>
          <w:color w:val="000000" w:themeColor="text1"/>
          <w:lang w:val="de-DE"/>
        </w:rPr>
        <w:t xml:space="preserve">. Die Kapazitätserweiterung ermöglicht dem Personal deutlich längere Phasen der </w:t>
      </w:r>
      <w:r w:rsidR="00462F48">
        <w:rPr>
          <w:rFonts w:ascii="Arial" w:eastAsia="Calibri" w:hAnsi="Arial" w:cs="Arial"/>
          <w:color w:val="000000" w:themeColor="text1"/>
          <w:lang w:val="de-DE"/>
        </w:rPr>
        <w:t>automatisierten</w:t>
      </w:r>
      <w:r w:rsidR="00462F48" w:rsidRPr="6E887ED0">
        <w:rPr>
          <w:rFonts w:ascii="Arial" w:eastAsia="Calibri" w:hAnsi="Arial" w:cs="Arial"/>
          <w:color w:val="000000" w:themeColor="text1"/>
          <w:lang w:val="de-DE"/>
        </w:rPr>
        <w:t xml:space="preserve"> </w:t>
      </w:r>
      <w:r w:rsidRPr="6E887ED0">
        <w:rPr>
          <w:rFonts w:ascii="Arial" w:eastAsia="Calibri" w:hAnsi="Arial" w:cs="Arial"/>
          <w:color w:val="000000" w:themeColor="text1"/>
          <w:lang w:val="de-DE"/>
        </w:rPr>
        <w:t xml:space="preserve">Fertigung und entsprechend mehr Zeit für anspruchsvolle Tätigkeiten in der Arbeitsvorbereitung. Mit dem neuen 70-kg-Modul lassen sich zudem größere und schwerere Werkstücke bis zu 40 kg im Einzelgriff sicher handhaben. Damit schließt der </w:t>
      </w:r>
      <w:r w:rsidRPr="00224FF5">
        <w:rPr>
          <w:lang w:val="de-DE"/>
        </w:rPr>
        <w:br/>
      </w:r>
      <w:r w:rsidRPr="6E887ED0">
        <w:rPr>
          <w:rFonts w:ascii="Arial" w:eastAsia="Calibri" w:hAnsi="Arial" w:cs="Arial"/>
          <w:color w:val="000000" w:themeColor="text1"/>
          <w:lang w:val="de-DE"/>
        </w:rPr>
        <w:t>Robo2Go 3. Generation die Lücke zwischen dem 35-kg-Modul des Robo2Go Turning und dem 210-kg-Handling des Robo2Go Max und erweitert das Einsatzspektrum deutlich.</w:t>
      </w:r>
    </w:p>
    <w:p w14:paraId="347C4EA3" w14:textId="5EDEA676" w:rsidR="00804A9B" w:rsidRPr="004F2996" w:rsidRDefault="00804A9B" w:rsidP="00804A9B">
      <w:pPr>
        <w:spacing w:after="120" w:line="276" w:lineRule="auto"/>
        <w:jc w:val="both"/>
        <w:rPr>
          <w:rFonts w:ascii="Arial" w:eastAsia="Calibri" w:hAnsi="Arial" w:cs="Arial"/>
          <w:color w:val="000000" w:themeColor="text1"/>
          <w:lang w:val="de-DE"/>
        </w:rPr>
      </w:pPr>
      <w:r w:rsidRPr="6E887ED0">
        <w:rPr>
          <w:rFonts w:ascii="Arial" w:eastAsia="Calibri" w:hAnsi="Arial" w:cs="Arial"/>
          <w:color w:val="000000" w:themeColor="text1"/>
          <w:lang w:val="de-DE"/>
        </w:rPr>
        <w:t xml:space="preserve">Um die Zugänglichkeit der Bearbeitungszentren und Turn-Mill-Maschinen </w:t>
      </w:r>
      <w:r w:rsidR="008A0EE9">
        <w:rPr>
          <w:rFonts w:ascii="Arial" w:eastAsia="Calibri" w:hAnsi="Arial" w:cs="Arial"/>
          <w:color w:val="000000" w:themeColor="text1"/>
          <w:lang w:val="de-DE"/>
        </w:rPr>
        <w:t>sicherzustellen</w:t>
      </w:r>
      <w:r w:rsidRPr="6E887ED0">
        <w:rPr>
          <w:rFonts w:ascii="Arial" w:eastAsia="Calibri" w:hAnsi="Arial" w:cs="Arial"/>
          <w:color w:val="000000" w:themeColor="text1"/>
          <w:lang w:val="de-DE"/>
        </w:rPr>
        <w:t>, kann DMG MORI den Robo2Go 3. Generation rechts</w:t>
      </w:r>
      <w:r w:rsidR="008A0EE9">
        <w:rPr>
          <w:rFonts w:ascii="Arial" w:eastAsia="Calibri" w:hAnsi="Arial" w:cs="Arial"/>
          <w:color w:val="000000" w:themeColor="text1"/>
          <w:lang w:val="de-DE"/>
        </w:rPr>
        <w:t>seitig</w:t>
      </w:r>
      <w:r w:rsidRPr="6E887ED0">
        <w:rPr>
          <w:rFonts w:ascii="Arial" w:eastAsia="Calibri" w:hAnsi="Arial" w:cs="Arial"/>
          <w:color w:val="000000" w:themeColor="text1"/>
          <w:lang w:val="de-DE"/>
        </w:rPr>
        <w:t xml:space="preserve"> positionieren. Arbeitsraum, Bedienpult und Werkzeugmagazin bleiben auf diese Weise leicht erreichbar. Die linke Aufstellvariante ist im Fall des Robo2Go Turning weiterhin optimal für Revolverdrehmaschinen der CTX und </w:t>
      </w:r>
      <w:proofErr w:type="gramStart"/>
      <w:r w:rsidRPr="6E887ED0">
        <w:rPr>
          <w:rFonts w:ascii="Arial" w:eastAsia="Calibri" w:hAnsi="Arial" w:cs="Arial"/>
          <w:color w:val="000000" w:themeColor="text1"/>
          <w:lang w:val="de-DE"/>
        </w:rPr>
        <w:t>NLX Baureihen</w:t>
      </w:r>
      <w:proofErr w:type="gramEnd"/>
      <w:r w:rsidRPr="6E887ED0">
        <w:rPr>
          <w:rFonts w:ascii="Arial" w:eastAsia="Calibri" w:hAnsi="Arial" w:cs="Arial"/>
          <w:color w:val="000000" w:themeColor="text1"/>
          <w:lang w:val="de-DE"/>
        </w:rPr>
        <w:t>.</w:t>
      </w:r>
    </w:p>
    <w:p w14:paraId="1FE1A5D3" w14:textId="77777777" w:rsidR="00804A9B" w:rsidRPr="004F2996" w:rsidRDefault="00804A9B" w:rsidP="00804A9B">
      <w:pPr>
        <w:spacing w:before="240" w:after="120" w:line="276" w:lineRule="auto"/>
        <w:jc w:val="both"/>
        <w:rPr>
          <w:rFonts w:ascii="Arial" w:eastAsia="Calibri" w:hAnsi="Arial" w:cs="Arial"/>
          <w:b/>
          <w:bCs/>
          <w:color w:val="000000" w:themeColor="text1"/>
          <w:lang w:val="de-DE"/>
        </w:rPr>
      </w:pPr>
      <w:r w:rsidRPr="2C69B19B">
        <w:rPr>
          <w:rFonts w:ascii="Arial" w:eastAsia="Calibri" w:hAnsi="Arial" w:cs="Arial"/>
          <w:b/>
          <w:bCs/>
          <w:color w:val="000000" w:themeColor="text1"/>
          <w:lang w:val="de-DE"/>
        </w:rPr>
        <w:t xml:space="preserve">Intuitive Bedienung über Maschinensteuerung </w:t>
      </w:r>
    </w:p>
    <w:p w14:paraId="2EA344A1" w14:textId="6A46707C" w:rsidR="00804A9B" w:rsidRPr="00B30C1D" w:rsidRDefault="00804A9B" w:rsidP="00804A9B">
      <w:pPr>
        <w:spacing w:after="120" w:line="276" w:lineRule="auto"/>
        <w:jc w:val="both"/>
        <w:rPr>
          <w:lang w:val="de-DE"/>
        </w:rPr>
      </w:pPr>
      <w:r w:rsidRPr="6E887ED0">
        <w:rPr>
          <w:rFonts w:ascii="Arial" w:eastAsia="Calibri" w:hAnsi="Arial" w:cs="Arial"/>
          <w:color w:val="000000" w:themeColor="text1"/>
          <w:lang w:val="de-DE"/>
        </w:rPr>
        <w:t>Die intuitive Bedienung des Robo2Go 3. Generation erfolgt über die Robo2Go App. Für die Erstellung des Prozesses sind keine Programmierkenntnisse erforderlich</w:t>
      </w:r>
      <w:r w:rsidR="00D156D2">
        <w:rPr>
          <w:rFonts w:ascii="Arial" w:eastAsia="Calibri" w:hAnsi="Arial" w:cs="Arial"/>
          <w:color w:val="000000" w:themeColor="text1"/>
          <w:lang w:val="de-DE"/>
        </w:rPr>
        <w:t xml:space="preserve"> – hier kommen</w:t>
      </w:r>
      <w:r w:rsidRPr="6E887ED0">
        <w:rPr>
          <w:rFonts w:ascii="Arial" w:eastAsia="Calibri" w:hAnsi="Arial" w:cs="Arial"/>
          <w:color w:val="000000" w:themeColor="text1"/>
          <w:lang w:val="de-DE"/>
        </w:rPr>
        <w:t xml:space="preserve"> vordefinierte Programmmodule</w:t>
      </w:r>
      <w:r w:rsidR="00FD6281">
        <w:rPr>
          <w:rFonts w:ascii="Arial" w:eastAsia="Calibri" w:hAnsi="Arial" w:cs="Arial"/>
          <w:color w:val="000000" w:themeColor="text1"/>
          <w:lang w:val="de-DE"/>
        </w:rPr>
        <w:t xml:space="preserve"> zum Einsatz, die sich</w:t>
      </w:r>
      <w:r w:rsidRPr="6E887ED0">
        <w:rPr>
          <w:rFonts w:ascii="Arial" w:eastAsia="Calibri" w:hAnsi="Arial" w:cs="Arial"/>
          <w:color w:val="000000" w:themeColor="text1"/>
          <w:lang w:val="de-DE"/>
        </w:rPr>
        <w:t xml:space="preserve"> per Drag &amp; Drop </w:t>
      </w:r>
      <w:r w:rsidR="00FD6281">
        <w:rPr>
          <w:rFonts w:ascii="Arial" w:eastAsia="Calibri" w:hAnsi="Arial" w:cs="Arial"/>
          <w:color w:val="000000" w:themeColor="text1"/>
          <w:lang w:val="de-DE"/>
        </w:rPr>
        <w:t>nutzen lassen</w:t>
      </w:r>
      <w:r w:rsidRPr="6E887ED0">
        <w:rPr>
          <w:rFonts w:ascii="Arial" w:eastAsia="Calibri" w:hAnsi="Arial" w:cs="Arial"/>
          <w:color w:val="000000" w:themeColor="text1"/>
          <w:lang w:val="de-DE"/>
        </w:rPr>
        <w:t xml:space="preserve">. Die App ist in die Maschinensteuerung integriert, sodass NC-Programme nicht separat angepasst werden müssen. Über die Robo2Go Jobs App lassen sich die Aufträge zudem übersichtlich verwalten. </w:t>
      </w:r>
      <w:r w:rsidRPr="6E887ED0">
        <w:rPr>
          <w:rFonts w:ascii="Arial" w:eastAsia="Arial" w:hAnsi="Arial" w:cs="Arial"/>
          <w:lang w:val="de-DE"/>
        </w:rPr>
        <w:t xml:space="preserve">In Kombination mit dem Schubladenspeicher verfügt der Robo2Go der </w:t>
      </w:r>
      <w:r w:rsidR="005C195B">
        <w:rPr>
          <w:rFonts w:ascii="Arial" w:eastAsia="Arial" w:hAnsi="Arial" w:cs="Arial"/>
          <w:lang w:val="de-DE"/>
        </w:rPr>
        <w:br/>
      </w:r>
      <w:r w:rsidRPr="6E887ED0">
        <w:rPr>
          <w:rFonts w:ascii="Arial" w:eastAsia="Arial" w:hAnsi="Arial" w:cs="Arial"/>
          <w:lang w:val="de-DE"/>
        </w:rPr>
        <w:t>3. Generation über die neue Automation Control Station. Der 19</w:t>
      </w:r>
      <w:r w:rsidR="00D73E9C" w:rsidRPr="001B1659">
        <w:rPr>
          <w:lang w:val="de-DE"/>
        </w:rPr>
        <w:t>''</w:t>
      </w:r>
      <w:r w:rsidRPr="6E887ED0">
        <w:rPr>
          <w:rFonts w:ascii="Arial" w:eastAsia="Arial" w:hAnsi="Arial" w:cs="Arial"/>
          <w:lang w:val="de-DE"/>
        </w:rPr>
        <w:t>-Touchscreen im robusten Aluminiumgehäuse bietet maximale Bedienerfreundlichkeit direkt am Schubladenspeicher.</w:t>
      </w:r>
    </w:p>
    <w:p w14:paraId="488C9813" w14:textId="77777777" w:rsidR="00804A9B" w:rsidRPr="00F72192" w:rsidRDefault="00804A9B" w:rsidP="00804A9B">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p>
    <w:p w14:paraId="54B2E499" w14:textId="77777777" w:rsidR="00804A9B" w:rsidRDefault="00804A9B" w:rsidP="00804A9B">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291D61">
        <w:rPr>
          <w:rFonts w:ascii="Arial" w:eastAsia="MS Mincho" w:hAnsi="Arial" w:cs="Arial"/>
          <w:b/>
          <w:noProof/>
          <w:color w:val="000000" w:themeColor="text1"/>
          <w:sz w:val="16"/>
          <w:szCs w:val="18"/>
        </w:rPr>
        <w:drawing>
          <wp:inline distT="0" distB="0" distL="0" distR="0" wp14:anchorId="193890C3" wp14:editId="2A164981">
            <wp:extent cx="4839194" cy="3400558"/>
            <wp:effectExtent l="0" t="0" r="0" b="0"/>
            <wp:docPr id="2117210816" name="Grafik 1" descr="Ein Bild, das Im Haus, Design,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210816" name="Grafik 1" descr="Ein Bild, das Im Haus, Design, Schwarzweiß enthält.&#10;&#10;KI-generierte Inhalte können fehlerhaft sein."/>
                    <pic:cNvPicPr/>
                  </pic:nvPicPr>
                  <pic:blipFill>
                    <a:blip r:embed="rId10"/>
                    <a:stretch>
                      <a:fillRect/>
                    </a:stretch>
                  </pic:blipFill>
                  <pic:spPr>
                    <a:xfrm>
                      <a:off x="0" y="0"/>
                      <a:ext cx="4848311" cy="3406965"/>
                    </a:xfrm>
                    <a:prstGeom prst="rect">
                      <a:avLst/>
                    </a:prstGeom>
                  </pic:spPr>
                </pic:pic>
              </a:graphicData>
            </a:graphic>
          </wp:inline>
        </w:drawing>
      </w:r>
    </w:p>
    <w:p w14:paraId="6DF8974C" w14:textId="77777777" w:rsidR="00804A9B" w:rsidRPr="00B30C1D" w:rsidRDefault="00804A9B" w:rsidP="00804A9B">
      <w:pPr>
        <w:autoSpaceDE w:val="0"/>
        <w:autoSpaceDN w:val="0"/>
        <w:adjustRightInd w:val="0"/>
        <w:spacing w:after="40" w:line="269" w:lineRule="auto"/>
        <w:ind w:right="1835"/>
        <w:rPr>
          <w:rFonts w:ascii="Arial" w:eastAsia="MS Mincho" w:hAnsi="Arial" w:cs="Arial"/>
          <w:b/>
          <w:bCs/>
          <w:color w:val="000000" w:themeColor="text1"/>
          <w:sz w:val="16"/>
          <w:szCs w:val="16"/>
          <w:highlight w:val="yellow"/>
          <w:lang w:val="de-DE"/>
        </w:rPr>
      </w:pPr>
      <w:r w:rsidRPr="00B30C1D">
        <w:rPr>
          <w:rFonts w:ascii="Arial" w:eastAsia="MS Mincho" w:hAnsi="Arial" w:cs="Arial"/>
          <w:color w:val="000000" w:themeColor="text1"/>
          <w:sz w:val="16"/>
          <w:szCs w:val="16"/>
          <w:lang w:val="de-DE"/>
        </w:rPr>
        <w:t>Eine um bis zu 50 Prozent erhöhte Kapazität macht den Robo2Go 3. Generation deutlich autonomer.</w:t>
      </w:r>
    </w:p>
    <w:p w14:paraId="49D338DA" w14:textId="52719B6D" w:rsidR="000F3F5B" w:rsidRDefault="000F3F5B">
      <w:pPr>
        <w:rPr>
          <w:rFonts w:ascii="Arial" w:eastAsia="MS Mincho" w:hAnsi="Arial" w:cs="Arial"/>
          <w:b/>
          <w:color w:val="000000" w:themeColor="text1"/>
          <w:sz w:val="16"/>
          <w:szCs w:val="18"/>
          <w:lang w:val="de-DE"/>
        </w:rPr>
      </w:pPr>
    </w:p>
    <w:p w14:paraId="01EED7E0" w14:textId="3132C786" w:rsidR="001906A8" w:rsidRPr="001906A8" w:rsidRDefault="00CF38E9" w:rsidP="001906A8">
      <w:pPr>
        <w:autoSpaceDE w:val="0"/>
        <w:autoSpaceDN w:val="0"/>
        <w:adjustRightInd w:val="0"/>
        <w:spacing w:after="40" w:line="269" w:lineRule="auto"/>
        <w:ind w:right="1977"/>
        <w:jc w:val="both"/>
        <w:rPr>
          <w:rFonts w:ascii="Arial" w:eastAsia="MS Mincho" w:hAnsi="Arial" w:cs="Arial"/>
          <w:b/>
          <w:sz w:val="16"/>
          <w:szCs w:val="18"/>
          <w:lang w:val="de-DE"/>
        </w:rPr>
      </w:pPr>
      <w:r>
        <w:rPr>
          <w:rFonts w:ascii="Arial" w:eastAsia="MS Mincho" w:hAnsi="Arial" w:cs="Arial"/>
          <w:b/>
          <w:sz w:val="16"/>
          <w:szCs w:val="18"/>
          <w:lang w:val="de-DE"/>
        </w:rPr>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4BD1143" w14:textId="0829B29F" w:rsidR="001906A8" w:rsidRPr="002B2BF8" w:rsidRDefault="00AC23D7" w:rsidP="00EA58F4">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sectPr w:rsidR="001906A8" w:rsidRPr="002B2BF8"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AE7E16" w14:textId="77777777" w:rsidR="00CC2AA7" w:rsidRDefault="00CC2AA7" w:rsidP="003F4354">
      <w:pPr>
        <w:spacing w:after="0" w:line="240" w:lineRule="auto"/>
      </w:pPr>
      <w:r>
        <w:separator/>
      </w:r>
    </w:p>
  </w:endnote>
  <w:endnote w:type="continuationSeparator" w:id="0">
    <w:p w14:paraId="191486AD" w14:textId="77777777" w:rsidR="00CC2AA7" w:rsidRDefault="00CC2AA7"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200247B" w:usb2="00000009" w:usb3="00000000" w:csb0="000001F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212930FA"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A3DACA" w14:textId="77777777" w:rsidR="00CC2AA7" w:rsidRDefault="00CC2AA7" w:rsidP="003F4354">
      <w:pPr>
        <w:spacing w:after="0" w:line="240" w:lineRule="auto"/>
      </w:pPr>
      <w:r>
        <w:separator/>
      </w:r>
    </w:p>
  </w:footnote>
  <w:footnote w:type="continuationSeparator" w:id="0">
    <w:p w14:paraId="1CC1999F" w14:textId="77777777" w:rsidR="00CC2AA7" w:rsidRDefault="00CC2AA7"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D6D79C"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F72"/>
    <w:rsid w:val="0004559C"/>
    <w:rsid w:val="00052967"/>
    <w:rsid w:val="000608E2"/>
    <w:rsid w:val="00062567"/>
    <w:rsid w:val="00064451"/>
    <w:rsid w:val="00070AC0"/>
    <w:rsid w:val="0007588D"/>
    <w:rsid w:val="00077427"/>
    <w:rsid w:val="00086B3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3890"/>
    <w:rsid w:val="00126272"/>
    <w:rsid w:val="00130925"/>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607A"/>
    <w:rsid w:val="001E0E30"/>
    <w:rsid w:val="001E5153"/>
    <w:rsid w:val="001E6939"/>
    <w:rsid w:val="001F0331"/>
    <w:rsid w:val="001F728B"/>
    <w:rsid w:val="001F7C03"/>
    <w:rsid w:val="002020A2"/>
    <w:rsid w:val="00205087"/>
    <w:rsid w:val="0022312D"/>
    <w:rsid w:val="00224FF5"/>
    <w:rsid w:val="00226042"/>
    <w:rsid w:val="00233649"/>
    <w:rsid w:val="00234722"/>
    <w:rsid w:val="002361B9"/>
    <w:rsid w:val="00236B8A"/>
    <w:rsid w:val="00237194"/>
    <w:rsid w:val="00256B3C"/>
    <w:rsid w:val="0027447A"/>
    <w:rsid w:val="00276482"/>
    <w:rsid w:val="00286B74"/>
    <w:rsid w:val="00287817"/>
    <w:rsid w:val="002A21A4"/>
    <w:rsid w:val="002A5412"/>
    <w:rsid w:val="002B2BF8"/>
    <w:rsid w:val="002B6B1C"/>
    <w:rsid w:val="002C2245"/>
    <w:rsid w:val="002C5E8B"/>
    <w:rsid w:val="002D021D"/>
    <w:rsid w:val="002D2B20"/>
    <w:rsid w:val="002D65B1"/>
    <w:rsid w:val="002E15B3"/>
    <w:rsid w:val="002E498A"/>
    <w:rsid w:val="002F28F8"/>
    <w:rsid w:val="002F29D6"/>
    <w:rsid w:val="002F7B27"/>
    <w:rsid w:val="0030564A"/>
    <w:rsid w:val="00305DD1"/>
    <w:rsid w:val="003130E0"/>
    <w:rsid w:val="00314BD4"/>
    <w:rsid w:val="003161C5"/>
    <w:rsid w:val="0031754B"/>
    <w:rsid w:val="00326AB4"/>
    <w:rsid w:val="00336375"/>
    <w:rsid w:val="00337C81"/>
    <w:rsid w:val="00341223"/>
    <w:rsid w:val="0036022D"/>
    <w:rsid w:val="00360D95"/>
    <w:rsid w:val="00361C8E"/>
    <w:rsid w:val="003638F1"/>
    <w:rsid w:val="00363EA0"/>
    <w:rsid w:val="0036588C"/>
    <w:rsid w:val="00366AD2"/>
    <w:rsid w:val="00376877"/>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4E99"/>
    <w:rsid w:val="00475722"/>
    <w:rsid w:val="00476D17"/>
    <w:rsid w:val="0047725A"/>
    <w:rsid w:val="0048230D"/>
    <w:rsid w:val="004836A6"/>
    <w:rsid w:val="00483F4D"/>
    <w:rsid w:val="00486B7F"/>
    <w:rsid w:val="00497729"/>
    <w:rsid w:val="004A4F9E"/>
    <w:rsid w:val="004A716A"/>
    <w:rsid w:val="004A7C30"/>
    <w:rsid w:val="004B34A4"/>
    <w:rsid w:val="004B54C1"/>
    <w:rsid w:val="004C06E8"/>
    <w:rsid w:val="004D575D"/>
    <w:rsid w:val="004E26A3"/>
    <w:rsid w:val="004E354E"/>
    <w:rsid w:val="004F05A5"/>
    <w:rsid w:val="004F4CDE"/>
    <w:rsid w:val="004F5BF2"/>
    <w:rsid w:val="00515E24"/>
    <w:rsid w:val="00516AEE"/>
    <w:rsid w:val="00520F63"/>
    <w:rsid w:val="005415D3"/>
    <w:rsid w:val="00547EC9"/>
    <w:rsid w:val="005517F7"/>
    <w:rsid w:val="0055268F"/>
    <w:rsid w:val="005557A1"/>
    <w:rsid w:val="00555C0B"/>
    <w:rsid w:val="0056079F"/>
    <w:rsid w:val="00560FA3"/>
    <w:rsid w:val="00565153"/>
    <w:rsid w:val="005717A9"/>
    <w:rsid w:val="00571C8A"/>
    <w:rsid w:val="00582C26"/>
    <w:rsid w:val="00582D60"/>
    <w:rsid w:val="00584408"/>
    <w:rsid w:val="005958B8"/>
    <w:rsid w:val="005A1F4E"/>
    <w:rsid w:val="005A2D0A"/>
    <w:rsid w:val="005A572D"/>
    <w:rsid w:val="005B0513"/>
    <w:rsid w:val="005B6176"/>
    <w:rsid w:val="005C195B"/>
    <w:rsid w:val="005D0FC9"/>
    <w:rsid w:val="005D21D0"/>
    <w:rsid w:val="005E3136"/>
    <w:rsid w:val="005E4215"/>
    <w:rsid w:val="005E5E99"/>
    <w:rsid w:val="005F17E1"/>
    <w:rsid w:val="005F4461"/>
    <w:rsid w:val="00600CE3"/>
    <w:rsid w:val="0060732E"/>
    <w:rsid w:val="00611A27"/>
    <w:rsid w:val="00614064"/>
    <w:rsid w:val="006161A6"/>
    <w:rsid w:val="00617CCA"/>
    <w:rsid w:val="006229A8"/>
    <w:rsid w:val="00623D62"/>
    <w:rsid w:val="00630EC1"/>
    <w:rsid w:val="00641E02"/>
    <w:rsid w:val="00656269"/>
    <w:rsid w:val="00676D80"/>
    <w:rsid w:val="00676F02"/>
    <w:rsid w:val="00682468"/>
    <w:rsid w:val="006828B6"/>
    <w:rsid w:val="00687ED7"/>
    <w:rsid w:val="00690B80"/>
    <w:rsid w:val="00694214"/>
    <w:rsid w:val="006A1B59"/>
    <w:rsid w:val="006A28CB"/>
    <w:rsid w:val="006A5B90"/>
    <w:rsid w:val="006B0BB7"/>
    <w:rsid w:val="006B1079"/>
    <w:rsid w:val="006B1EC2"/>
    <w:rsid w:val="006B73B2"/>
    <w:rsid w:val="006F2E0E"/>
    <w:rsid w:val="006F49FF"/>
    <w:rsid w:val="007121CF"/>
    <w:rsid w:val="00714610"/>
    <w:rsid w:val="00714926"/>
    <w:rsid w:val="0071694B"/>
    <w:rsid w:val="007220DB"/>
    <w:rsid w:val="00722A86"/>
    <w:rsid w:val="00730B7B"/>
    <w:rsid w:val="00733271"/>
    <w:rsid w:val="007363E6"/>
    <w:rsid w:val="00736F18"/>
    <w:rsid w:val="00740D2B"/>
    <w:rsid w:val="00742FA4"/>
    <w:rsid w:val="00746480"/>
    <w:rsid w:val="007509F8"/>
    <w:rsid w:val="00751679"/>
    <w:rsid w:val="00757EDA"/>
    <w:rsid w:val="00760F42"/>
    <w:rsid w:val="00773500"/>
    <w:rsid w:val="00774C66"/>
    <w:rsid w:val="00786C75"/>
    <w:rsid w:val="00793063"/>
    <w:rsid w:val="00796A9D"/>
    <w:rsid w:val="00797432"/>
    <w:rsid w:val="007A2E8F"/>
    <w:rsid w:val="007A6887"/>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4B65"/>
    <w:rsid w:val="00892B73"/>
    <w:rsid w:val="008A0EE9"/>
    <w:rsid w:val="008A79A8"/>
    <w:rsid w:val="008C5D26"/>
    <w:rsid w:val="008E42C3"/>
    <w:rsid w:val="008F134E"/>
    <w:rsid w:val="008F33FA"/>
    <w:rsid w:val="009074ED"/>
    <w:rsid w:val="009130EA"/>
    <w:rsid w:val="00921555"/>
    <w:rsid w:val="00923443"/>
    <w:rsid w:val="00925B7D"/>
    <w:rsid w:val="009261AC"/>
    <w:rsid w:val="009268CB"/>
    <w:rsid w:val="00933EB6"/>
    <w:rsid w:val="0093544D"/>
    <w:rsid w:val="009440C4"/>
    <w:rsid w:val="00945CEB"/>
    <w:rsid w:val="0095443E"/>
    <w:rsid w:val="00960669"/>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E09F5"/>
    <w:rsid w:val="00AF1D12"/>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049"/>
    <w:rsid w:val="00BD3B01"/>
    <w:rsid w:val="00BE4469"/>
    <w:rsid w:val="00BE4855"/>
    <w:rsid w:val="00BF0D9C"/>
    <w:rsid w:val="00BF14DF"/>
    <w:rsid w:val="00BF412D"/>
    <w:rsid w:val="00BF6E5B"/>
    <w:rsid w:val="00C04787"/>
    <w:rsid w:val="00C123AD"/>
    <w:rsid w:val="00C159F0"/>
    <w:rsid w:val="00C16C83"/>
    <w:rsid w:val="00C272F0"/>
    <w:rsid w:val="00C275B5"/>
    <w:rsid w:val="00C3200F"/>
    <w:rsid w:val="00C37B79"/>
    <w:rsid w:val="00C47C47"/>
    <w:rsid w:val="00C544E1"/>
    <w:rsid w:val="00C56313"/>
    <w:rsid w:val="00C65FCE"/>
    <w:rsid w:val="00C66A5C"/>
    <w:rsid w:val="00C66DFD"/>
    <w:rsid w:val="00C73520"/>
    <w:rsid w:val="00C875D6"/>
    <w:rsid w:val="00CA3E75"/>
    <w:rsid w:val="00CB3296"/>
    <w:rsid w:val="00CB3ED8"/>
    <w:rsid w:val="00CB6A32"/>
    <w:rsid w:val="00CB71EF"/>
    <w:rsid w:val="00CC2AA7"/>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EF7"/>
    <w:rsid w:val="00D42242"/>
    <w:rsid w:val="00D42DFD"/>
    <w:rsid w:val="00D57DA7"/>
    <w:rsid w:val="00D60CB1"/>
    <w:rsid w:val="00D61F65"/>
    <w:rsid w:val="00D62AB6"/>
    <w:rsid w:val="00D630BE"/>
    <w:rsid w:val="00D67734"/>
    <w:rsid w:val="00D73E9C"/>
    <w:rsid w:val="00D80947"/>
    <w:rsid w:val="00D94630"/>
    <w:rsid w:val="00D95883"/>
    <w:rsid w:val="00DB7DDE"/>
    <w:rsid w:val="00DC4B72"/>
    <w:rsid w:val="00DD34AB"/>
    <w:rsid w:val="00DD79DB"/>
    <w:rsid w:val="00DE7D1E"/>
    <w:rsid w:val="00DF0E7E"/>
    <w:rsid w:val="00DF13E3"/>
    <w:rsid w:val="00DF3D83"/>
    <w:rsid w:val="00E00C2D"/>
    <w:rsid w:val="00E17079"/>
    <w:rsid w:val="00E21050"/>
    <w:rsid w:val="00E24FA1"/>
    <w:rsid w:val="00E369D6"/>
    <w:rsid w:val="00E4196B"/>
    <w:rsid w:val="00E44077"/>
    <w:rsid w:val="00E47C34"/>
    <w:rsid w:val="00E5258B"/>
    <w:rsid w:val="00E75870"/>
    <w:rsid w:val="00E80F8C"/>
    <w:rsid w:val="00E853BD"/>
    <w:rsid w:val="00E95CC3"/>
    <w:rsid w:val="00EA4FF0"/>
    <w:rsid w:val="00EA5521"/>
    <w:rsid w:val="00EA58F4"/>
    <w:rsid w:val="00EC7361"/>
    <w:rsid w:val="00ED0252"/>
    <w:rsid w:val="00ED2CB4"/>
    <w:rsid w:val="00ED61FD"/>
    <w:rsid w:val="00EE5702"/>
    <w:rsid w:val="00EF0ADE"/>
    <w:rsid w:val="00F00931"/>
    <w:rsid w:val="00F0729F"/>
    <w:rsid w:val="00F23170"/>
    <w:rsid w:val="00F26F95"/>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2CE640F4-4E70-4194-916A-750A1329A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578</Words>
  <Characters>4025</Characters>
  <Application>Microsoft Office Word</Application>
  <DocSecurity>0</DocSecurity>
  <Lines>66</Lines>
  <Paragraphs>14</Paragraphs>
  <ScaleCrop>false</ScaleCrop>
  <Company/>
  <LinksUpToDate>false</LinksUpToDate>
  <CharactersWithSpaces>4597</CharactersWithSpaces>
  <SharedDoc>false</SharedDoc>
  <HLinks>
    <vt:vector size="6" baseType="variant">
      <vt:variant>
        <vt:i4>2097251</vt:i4>
      </vt:variant>
      <vt:variant>
        <vt:i4>0</vt:i4>
      </vt:variant>
      <vt:variant>
        <vt:i4>0</vt:i4>
      </vt:variant>
      <vt:variant>
        <vt:i4>5</vt:i4>
      </vt:variant>
      <vt:variant>
        <vt:lpwstr>http://www.dmgmori.com/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2026-01-07T14:34:00Z</cp:lastPrinted>
  <dcterms:created xsi:type="dcterms:W3CDTF">2026-01-20T13:58:00Z</dcterms:created>
  <dcterms:modified xsi:type="dcterms:W3CDTF">2026-01-22T10:59:00Z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